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NHÂN DÂN </w:t>
            </w:r>
            <w:r>
              <w:rPr>
                <w:b/>
                <w:bCs/>
                <w:rtl w:val="0"/>
              </w:rPr>
              <w:br/>
            </w:r>
            <w:r>
              <w:rPr>
                <w:b/>
                <w:bCs/>
                <w:rtl w:val="0"/>
              </w:rPr>
              <w:t>TỈNH TÂY NINH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86/2026/QĐ-UBND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Tây Ninh, ngày 19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TUYẾN ĐƯỜNG, THỜI GIAN VẬN CHUYỂN CHẤT THẢI RẮN SINH HOẠT; TUYẾN ĐƯỜNG, THỜI GIAN VẬN CHUYỂN CHẤT THẢI RẮN CÔNG NGHIỆP THÔNG THƯỜNG PHẢI XỬ LÝ VÀ CHẤT THẢI NGUY HẠI TRÊN ĐỊA BÀN TỈNH TÂY NINH</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Bảo vệ môi trường số 72/2020/QH14; Luật sửa đổi, bổ sung một số điều của 15 Luật trong lĩnh vực nông nghiệp và môi trường số 146/2025/QH15;</w:t>
      </w:r>
    </w:p>
    <w:p>
      <w:pPr>
        <w:bidi w:val="0"/>
        <w:spacing w:before="120" w:beforeAutospacing="0" w:after="280" w:afterAutospacing="1"/>
      </w:pPr>
      <w:r>
        <w:rPr>
          <w:i/>
          <w:iCs/>
          <w:rtl w:val="0"/>
        </w:rPr>
        <w:t>Căn cứ Luật Đường bộ số 35/2024/QH15;</w:t>
      </w:r>
    </w:p>
    <w:p>
      <w:pPr>
        <w:bidi w:val="0"/>
        <w:spacing w:before="120" w:beforeAutospacing="0" w:after="280" w:afterAutospacing="1"/>
      </w:pPr>
      <w:r>
        <w:rPr>
          <w:i/>
          <w:iCs/>
          <w:rtl w:val="0"/>
        </w:rPr>
        <w:t>Căn cứ Nghị định số 08/2022/NĐ-CP ngày 10/01/2022 của Chính phủ quy định chi tiết một số điều của Luật Bảo vệ môi trường;</w:t>
      </w:r>
    </w:p>
    <w:p>
      <w:pPr>
        <w:bidi w:val="0"/>
        <w:spacing w:before="120" w:beforeAutospacing="0" w:after="280" w:afterAutospacing="1"/>
      </w:pPr>
      <w:r>
        <w:rPr>
          <w:i/>
          <w:iCs/>
          <w:rtl w:val="0"/>
        </w:rPr>
        <w:t>Căn cứ Nghị định số 05/2025/NĐ-CP ngày 06/01/2025 của Chính phủ sửa đổi, bổ sung một số điều của Nghị định số 08/2022/NĐ-CP ngày 10/01/2022 của Chính phủ quy định chi tiết một số điều của Luật Bảo vệ môi trường;</w:t>
      </w:r>
    </w:p>
    <w:p>
      <w:pPr>
        <w:bidi w:val="0"/>
        <w:spacing w:before="120" w:beforeAutospacing="0" w:after="280" w:afterAutospacing="1"/>
      </w:pPr>
      <w:r>
        <w:rPr>
          <w:i/>
          <w:iCs/>
          <w:rtl w:val="0"/>
        </w:rPr>
        <w:t>Căn cứ Nghị định số 48/2026/NĐ-CP ngày 29/01/2026 của Chính phủ sửa đổi, bổ sung một số điều của Nghị định số 08/2022/NĐ-CP ngày 10/01/2022 của Chính phủ quy định chi tiết một số điều của Luật Bảo vệ môi trường được sửa đổi, bổ sung bởi Nghị định số 05/2025/NĐ-CP ngày 06/01/2025;</w:t>
      </w:r>
    </w:p>
    <w:p>
      <w:pPr>
        <w:bidi w:val="0"/>
        <w:spacing w:before="120" w:beforeAutospacing="0" w:after="280" w:afterAutospacing="1"/>
      </w:pPr>
      <w:r>
        <w:rPr>
          <w:i/>
          <w:iCs/>
          <w:rtl w:val="0"/>
        </w:rPr>
        <w:t>Căn cứ Nghị định số 140/2025/NĐ-CP ngày 12/6/2025 của Chính phủ quy định về phân định thẩm quyền của chính quyền địa phương 02 cấp trong lĩnh vực quản lý nhà nước của Bộ Xây dựng;</w:t>
      </w:r>
    </w:p>
    <w:p>
      <w:pPr>
        <w:bidi w:val="0"/>
        <w:spacing w:before="120" w:beforeAutospacing="0" w:after="280" w:afterAutospacing="1"/>
      </w:pPr>
      <w:r>
        <w:rPr>
          <w:i/>
          <w:iCs/>
          <w:rtl w:val="0"/>
        </w:rPr>
        <w:t>Căn cứ Thông tư số 02/2022/TT-BTNMT ngày 10/01/2022 của Bộ trưởng Bộ Tài nguyên và Môi trường quy định chi tiết thi hành một số điều của Luật Bảo vệ môi trường;</w:t>
      </w:r>
    </w:p>
    <w:p>
      <w:pPr>
        <w:bidi w:val="0"/>
        <w:spacing w:before="120" w:beforeAutospacing="0" w:after="280" w:afterAutospacing="1"/>
      </w:pPr>
      <w:r>
        <w:rPr>
          <w:i/>
          <w:iCs/>
          <w:rtl w:val="0"/>
        </w:rPr>
        <w:t>Căn cứ Thông tư số 07/2025/TT-BTNMT ngày 28/02/2025 của Bộ trưởng Bộ Tài nguyên và Môi trường sửa đổi, bổ sung một số điều của Thông tư số 02/2022/TT-BTNMT ngày 10/01/2022 của Bộ trưởng Bộ Tài nguyên và Môi trường quy định chi tiết thi hành một số điều của Luật Bảo vệ môi trường;</w:t>
      </w:r>
    </w:p>
    <w:p>
      <w:pPr>
        <w:bidi w:val="0"/>
        <w:spacing w:before="120" w:beforeAutospacing="0" w:after="280" w:afterAutospacing="1"/>
      </w:pPr>
      <w:r>
        <w:rPr>
          <w:i/>
          <w:iCs/>
          <w:rtl w:val="0"/>
        </w:rPr>
        <w:t>Theo đề nghị của Giám đốc Sở Xây dựng;</w:t>
      </w:r>
    </w:p>
    <w:p>
      <w:pPr>
        <w:bidi w:val="0"/>
        <w:spacing w:before="120" w:beforeAutospacing="0" w:after="280" w:afterAutospacing="1"/>
      </w:pPr>
      <w:r>
        <w:rPr>
          <w:i/>
          <w:iCs/>
          <w:rtl w:val="0"/>
        </w:rPr>
        <w:t>Ủy ban nhân dân ban hành Quyết định quy định tuyến đường, thời gian vận chuyển chất thải rắn sinh hoạt; tuyến đường, thời gian vận chuyển chất thải rắn công nghiệp thông thường phải xử lý và chất thải nguy hại trên địa bàn tỉnh Tây Ninh.</w:t>
      </w:r>
    </w:p>
    <w:p>
      <w:pPr>
        <w:bidi w:val="0"/>
        <w:spacing w:before="120" w:beforeAutospacing="0" w:after="280" w:afterAutospacing="1"/>
      </w:pPr>
      <w:bookmarkStart w:id="2" w:name="dieu_1"/>
      <w:r>
        <w:rPr>
          <w:b/>
          <w:bCs/>
          <w:rtl w:val="0"/>
        </w:rPr>
        <w:t>Điều 1. Phạm vi điều chỉnh và đối tượng áp dụng</w:t>
      </w:r>
      <w:bookmarkEnd w:id="2"/>
    </w:p>
    <w:p>
      <w:pPr>
        <w:bidi w:val="0"/>
        <w:spacing w:before="120" w:beforeAutospacing="0" w:after="280" w:afterAutospacing="1"/>
      </w:pPr>
      <w:r>
        <w:rPr>
          <w:rtl w:val="0"/>
        </w:rPr>
        <w:t>1. Phạm vi điều chỉnh</w:t>
      </w:r>
    </w:p>
    <w:p>
      <w:pPr>
        <w:bidi w:val="0"/>
        <w:spacing w:before="120" w:beforeAutospacing="0" w:after="280" w:afterAutospacing="1"/>
      </w:pPr>
      <w:r>
        <w:rPr>
          <w:rtl w:val="0"/>
        </w:rPr>
        <w:t xml:space="preserve">Quyết định này quy định tuyến đường, thời gian vận chuyển chất thải rắn sinh hoạt; tuyến đường, thời gian vận chuyển chất thải rắn công nghiệp thông thường phải xử lý và chất thải nguy hại trên địa bàn tỉnh Tây Ninh theo quy định tại khoản 4 Điều 77, khoản 5 Điều 81 </w:t>
      </w:r>
      <w:r>
        <w:rPr>
          <w:i/>
          <w:iCs/>
          <w:rtl w:val="0"/>
        </w:rPr>
        <w:t>(trong đó điểm c được sửa đổi, bổ sung bởi khoản 25 Điều 1 Luật sửa đổi, bổ sung một số điều của 15 Luật trong lĩnh vực nông nghiệp và môi trường số 146/2025/QH15)</w:t>
      </w:r>
      <w:r>
        <w:rPr>
          <w:rtl w:val="0"/>
        </w:rPr>
        <w:t xml:space="preserve"> và khoản 3 Điều 83 Luật Bảo vệ môi trường số 72/2020/QH14 </w:t>
      </w:r>
      <w:r>
        <w:rPr>
          <w:i/>
          <w:iCs/>
          <w:rtl w:val="0"/>
        </w:rPr>
        <w:t>(được sửa đổi, bổ sung bởi khoản 26 Điều 1 Luật sửa đổi, bổ sung một số điều của 15 Luật trong lĩnh vực nông nghiệp và môi trường số 146/2025/QH15).</w:t>
      </w:r>
    </w:p>
    <w:p>
      <w:pPr>
        <w:bidi w:val="0"/>
        <w:spacing w:before="120" w:beforeAutospacing="0" w:after="280" w:afterAutospacing="1"/>
      </w:pPr>
      <w:r>
        <w:rPr>
          <w:rtl w:val="0"/>
        </w:rPr>
        <w:t>2. Đối tượng áp dụng</w:t>
      </w:r>
    </w:p>
    <w:p>
      <w:pPr>
        <w:bidi w:val="0"/>
        <w:spacing w:before="120" w:beforeAutospacing="0" w:after="280" w:afterAutospacing="1"/>
      </w:pPr>
      <w:r>
        <w:rPr>
          <w:rtl w:val="0"/>
        </w:rPr>
        <w:t>Quyết định này áp dụng đối với cơ quan, tổ chức, cộng đồng dân cư, hộ gia đình, cá nhân có liên quan đến hoạt động vận chuyển chất thải rắn sinh hoạt, chất thải rắn công nghiệp thông thường phải xử lý và chất thải nguy hại và các tổ chức, cá nhân khác liên quan đến hoạt động này trên địa bàn tỉnh Tây Ninh.</w:t>
      </w:r>
    </w:p>
    <w:p>
      <w:pPr>
        <w:bidi w:val="0"/>
        <w:spacing w:before="120" w:beforeAutospacing="0" w:after="280" w:afterAutospacing="1"/>
      </w:pPr>
      <w:bookmarkStart w:id="3" w:name="dieu_2"/>
      <w:r>
        <w:rPr>
          <w:b/>
          <w:bCs/>
          <w:rtl w:val="0"/>
        </w:rPr>
        <w:t>Điều 2. Quy định về tuyến đường, thời gian vận chuyển</w:t>
      </w:r>
      <w:bookmarkEnd w:id="3"/>
    </w:p>
    <w:p>
      <w:pPr>
        <w:bidi w:val="0"/>
        <w:spacing w:before="120" w:beforeAutospacing="0" w:after="280" w:afterAutospacing="1"/>
      </w:pPr>
      <w:r>
        <w:rPr>
          <w:rtl w:val="0"/>
        </w:rPr>
        <w:t>1. Đối với chất thải rắn sinh hoạt</w:t>
      </w:r>
    </w:p>
    <w:p>
      <w:pPr>
        <w:bidi w:val="0"/>
        <w:spacing w:before="120" w:beforeAutospacing="0" w:after="280" w:afterAutospacing="1"/>
      </w:pPr>
      <w:r>
        <w:rPr>
          <w:rtl w:val="0"/>
        </w:rPr>
        <w:t>a) Việc vận chuyển chất thải rắn sinh hoạt trên đường thuộc khu vực đô thị (đường đô thị) được phép hoạt động trong khoảng thời gian từ 18 giờ ngày hôm trước đến 05 giờ ngày hôm sau.</w:t>
      </w:r>
    </w:p>
    <w:p>
      <w:pPr>
        <w:bidi w:val="0"/>
        <w:spacing w:before="120" w:beforeAutospacing="0" w:after="280" w:afterAutospacing="1"/>
      </w:pPr>
      <w:r>
        <w:rPr>
          <w:rtl w:val="0"/>
        </w:rPr>
        <w:t>b) Việc vận chuyển chất thải rắn sinh hoạt trên đường thuộc khu vực ngoài đô thị: Tất cả các giờ trong ngày.</w:t>
      </w:r>
    </w:p>
    <w:p>
      <w:pPr>
        <w:bidi w:val="0"/>
        <w:spacing w:before="120" w:beforeAutospacing="0" w:after="280" w:afterAutospacing="1"/>
      </w:pPr>
      <w:r>
        <w:rPr>
          <w:rtl w:val="0"/>
        </w:rPr>
        <w:t>2. Đối với chất thải rắn công nghiệp thông thường phải xử lý</w:t>
      </w:r>
    </w:p>
    <w:p>
      <w:pPr>
        <w:bidi w:val="0"/>
        <w:spacing w:before="120" w:beforeAutospacing="0" w:after="280" w:afterAutospacing="1"/>
      </w:pPr>
      <w:r>
        <w:rPr>
          <w:rtl w:val="0"/>
        </w:rPr>
        <w:t>a) Việc vận chuyển chất thải rắn công nghiệp thông thường phải xử lý trên đường thuộc khu vực đô thị (đường đô thị) được phép hoạt động trong khoảng thời gian từ 18 giờ ngày hôm trước đến 05 giờ ngày hôm sau.</w:t>
      </w:r>
    </w:p>
    <w:p>
      <w:pPr>
        <w:bidi w:val="0"/>
        <w:spacing w:before="120" w:beforeAutospacing="0" w:after="280" w:afterAutospacing="1"/>
      </w:pPr>
      <w:r>
        <w:rPr>
          <w:rtl w:val="0"/>
        </w:rPr>
        <w:t>b) Việc vận chuyển chất thải rắn công nghiệp thông thường phải xử lý trên đường thuộc khu vực ngoài đô thị: Tất cả các giờ trong ngày.</w:t>
      </w:r>
    </w:p>
    <w:p>
      <w:pPr>
        <w:bidi w:val="0"/>
        <w:spacing w:before="120" w:beforeAutospacing="0" w:after="280" w:afterAutospacing="1"/>
      </w:pPr>
      <w:r>
        <w:rPr>
          <w:rtl w:val="0"/>
        </w:rPr>
        <w:t>3. Đối với chất thải nguy hại</w:t>
      </w:r>
    </w:p>
    <w:p>
      <w:pPr>
        <w:bidi w:val="0"/>
        <w:spacing w:before="120" w:beforeAutospacing="0" w:after="280" w:afterAutospacing="1"/>
      </w:pPr>
      <w:r>
        <w:rPr>
          <w:rtl w:val="0"/>
        </w:rPr>
        <w:t>a) Việc vận chuyển chất thải nguy hại trên đường thuộc khu vực đô thị (đường đô thị) được phép hoạt động trong khoảng thời gian từ 19 giờ ngày hôm trước đến 04 giờ ngày hôm sau.</w:t>
      </w:r>
    </w:p>
    <w:p>
      <w:pPr>
        <w:bidi w:val="0"/>
        <w:spacing w:before="120" w:beforeAutospacing="0" w:after="280" w:afterAutospacing="1"/>
      </w:pPr>
      <w:r>
        <w:rPr>
          <w:rtl w:val="0"/>
        </w:rPr>
        <w:t>b) Việc vận chuyển chất thải nguy hại trên đường thuộc khu vực ngoài đô thị: Tất cả các giờ trong ngày.</w:t>
      </w:r>
    </w:p>
    <w:p>
      <w:pPr>
        <w:bidi w:val="0"/>
        <w:spacing w:before="120" w:beforeAutospacing="0" w:after="280" w:afterAutospacing="1"/>
      </w:pPr>
      <w:bookmarkStart w:id="4" w:name="dieu_3"/>
      <w:r>
        <w:rPr>
          <w:b/>
          <w:bCs/>
          <w:rtl w:val="0"/>
        </w:rPr>
        <w:t>Điều 3. Tổ chức thực hiện</w:t>
      </w:r>
      <w:bookmarkEnd w:id="4"/>
    </w:p>
    <w:p>
      <w:pPr>
        <w:bidi w:val="0"/>
        <w:spacing w:before="120" w:beforeAutospacing="0" w:after="280" w:afterAutospacing="1"/>
      </w:pPr>
      <w:r>
        <w:rPr>
          <w:rtl w:val="0"/>
        </w:rPr>
        <w:t>1. Sở Nông nghiệp và Môi trường</w:t>
      </w:r>
    </w:p>
    <w:p>
      <w:pPr>
        <w:bidi w:val="0"/>
        <w:spacing w:before="120" w:beforeAutospacing="0" w:after="280" w:afterAutospacing="1"/>
      </w:pPr>
      <w:r>
        <w:rPr>
          <w:rtl w:val="0"/>
        </w:rPr>
        <w:t>a) Tổ chức quản lý chất thải rắn sinh hoạt, chất thải rắn công nghiệp thông thường phải xử lý, chất thải nguy hại trên địa bàn tỉnh Tây Ninh và chịu trách nhiệm trước Ủy ban nhân dân tỉnh về mặt quản lý nhà nước đối với các hoạt động liên quan đến lĩnh vực chất thải rắn sinh hoạt, chất thải rắn công nghiệp thông thường phải xử lý, chất thải nguy hại.</w:t>
      </w:r>
    </w:p>
    <w:p>
      <w:pPr>
        <w:bidi w:val="0"/>
        <w:spacing w:before="120" w:beforeAutospacing="0" w:after="280" w:afterAutospacing="1"/>
      </w:pPr>
      <w:r>
        <w:rPr>
          <w:rtl w:val="0"/>
        </w:rPr>
        <w:t>b) Hướng dẫn các tổ chức, cá nhân thực hiện các quy định về môi trường; các hoạt động có liên quan đến chất thải rắn sinh hoạt, chất thải rắn công nghiệp thông thường phải xử lý, chất thải nguy hại trên địa bàn tỉnh Tây Ninh.</w:t>
      </w:r>
    </w:p>
    <w:p>
      <w:pPr>
        <w:bidi w:val="0"/>
        <w:spacing w:before="120" w:beforeAutospacing="0" w:after="280" w:afterAutospacing="1"/>
      </w:pPr>
      <w:r>
        <w:rPr>
          <w:rtl w:val="0"/>
        </w:rPr>
        <w:t>2. Sở Xây dựng</w:t>
      </w:r>
    </w:p>
    <w:p>
      <w:pPr>
        <w:bidi w:val="0"/>
        <w:spacing w:before="120" w:beforeAutospacing="0" w:after="280" w:afterAutospacing="1"/>
      </w:pPr>
      <w:r>
        <w:rPr>
          <w:rtl w:val="0"/>
        </w:rPr>
        <w:t>a) Chủ trì, phối hợp với các sở, ngành, cơ quan có liên quan, Ủy ban nhân dân các xã, phường tuyên truyền, hướng dẫn, kiểm tra, đôn đốc việc thực hiện Quyết định này.</w:t>
      </w:r>
    </w:p>
    <w:p>
      <w:pPr>
        <w:bidi w:val="0"/>
        <w:spacing w:before="120" w:beforeAutospacing="0" w:after="280" w:afterAutospacing="1"/>
      </w:pPr>
      <w:r>
        <w:rPr>
          <w:rtl w:val="0"/>
        </w:rPr>
        <w:t>b) Phối hợp với các cơ quan liên quan trong việc cắm biển báo cấm hoặc hạn chế hoạt động đối với phương tiện vận chuyển chất thải rắn sinh hoạt, chất thải rắn công nghiệp thông thường phải xử lý, chất thải nguy hại theo đề nghị của Ủy ban nhân dân các xã, phường.</w:t>
      </w:r>
    </w:p>
    <w:p>
      <w:pPr>
        <w:bidi w:val="0"/>
        <w:spacing w:before="120" w:beforeAutospacing="0" w:after="280" w:afterAutospacing="1"/>
      </w:pPr>
      <w:r>
        <w:rPr>
          <w:rtl w:val="0"/>
        </w:rPr>
        <w:t>c) Tổng hợp các vướng mắc phát sinh trong quá trình thực hiện, tham mưu, đề xuất Ủy ban nhân dân tỉnh xem xét, sửa đổi, bổ sung các nội dung liên quan cho phù hợp.</w:t>
      </w:r>
    </w:p>
    <w:p>
      <w:pPr>
        <w:bidi w:val="0"/>
        <w:spacing w:before="120" w:beforeAutospacing="0" w:after="280" w:afterAutospacing="1"/>
      </w:pPr>
      <w:r>
        <w:rPr>
          <w:rtl w:val="0"/>
        </w:rPr>
        <w:t>3. Công an tỉnh</w:t>
      </w:r>
    </w:p>
    <w:p>
      <w:pPr>
        <w:bidi w:val="0"/>
        <w:spacing w:before="120" w:beforeAutospacing="0" w:after="280" w:afterAutospacing="1"/>
      </w:pPr>
      <w:r>
        <w:rPr>
          <w:rtl w:val="0"/>
        </w:rPr>
        <w:t>Tổ chức kiểm tra, xử lý các phương tiện vận chuyển chất thải rắn sinh hoạt, chất thải rắn công nghiệp thông thường phải xử lý và chất thải nguy hại trên địa bàn tỉnh vi phạm quy định về tuyến đường, thời gian cho phép hoạt động của các phương tiện vận chuyển theo Quyết định này.</w:t>
      </w:r>
    </w:p>
    <w:p>
      <w:pPr>
        <w:bidi w:val="0"/>
        <w:spacing w:before="120" w:beforeAutospacing="0" w:after="280" w:afterAutospacing="1"/>
      </w:pPr>
      <w:r>
        <w:rPr>
          <w:rtl w:val="0"/>
        </w:rPr>
        <w:t>4. Sở Văn hóa, Thể thao và Du lịch</w:t>
      </w:r>
    </w:p>
    <w:p>
      <w:pPr>
        <w:bidi w:val="0"/>
        <w:spacing w:before="120" w:beforeAutospacing="0" w:after="280" w:afterAutospacing="1"/>
      </w:pPr>
      <w:r>
        <w:rPr>
          <w:rtl w:val="0"/>
        </w:rPr>
        <w:t>Chủ trì, phối hợp với các sở, ban, ngành tỉnh, Ủy ban nhân dân các xã, phường, các cơ quan báo chí, truyền thông tổ chức tuyên truyền, phổ biến quy định pháp luật về bảo vệ môi trường và Quyết định này đến tổ chức, cá nhân liên quan.</w:t>
      </w:r>
    </w:p>
    <w:p>
      <w:pPr>
        <w:bidi w:val="0"/>
        <w:spacing w:before="120" w:beforeAutospacing="0" w:after="280" w:afterAutospacing="1"/>
      </w:pPr>
      <w:r>
        <w:rPr>
          <w:rtl w:val="0"/>
        </w:rPr>
        <w:t>5. Sở Công Thương; Ban Quản lý khu kinh tế tỉnh; Ủy ban nhân dân các xã, phường</w:t>
      </w:r>
    </w:p>
    <w:p>
      <w:pPr>
        <w:bidi w:val="0"/>
        <w:spacing w:before="120" w:beforeAutospacing="0" w:after="280" w:afterAutospacing="1"/>
      </w:pPr>
      <w:r>
        <w:rPr>
          <w:rtl w:val="0"/>
        </w:rPr>
        <w:t>a) Tổ chức quản lý các hoạt động có liên quan đến vận chuyển chất thải rắn sinh hoạt, chất thải rắn công nghiệp thông thường phải xử lý và chất thải nguy hại theo quy định của pháp luật.</w:t>
      </w:r>
    </w:p>
    <w:p>
      <w:pPr>
        <w:bidi w:val="0"/>
        <w:spacing w:before="120" w:beforeAutospacing="0" w:after="280" w:afterAutospacing="1"/>
      </w:pPr>
      <w:r>
        <w:rPr>
          <w:rtl w:val="0"/>
        </w:rPr>
        <w:t>b) Tổ chức kiểm tra, xử lý vi phạm theo quy định đối với hoạt động vận chuyển chất thải rắn sinh hoạt, chất thải rắn công nghiệp thông thường phải xử lý và chất thải nguy hại; tuyên truyền, phổ biến, giáo dục, vận động Nhân dân tích cực giữ gìn vệ sinh môi trường và nghiêm chỉnh chấp hành các quy định của pháp luật.</w:t>
      </w:r>
    </w:p>
    <w:p>
      <w:pPr>
        <w:bidi w:val="0"/>
        <w:spacing w:before="120" w:beforeAutospacing="0" w:after="280" w:afterAutospacing="1"/>
      </w:pPr>
      <w:r>
        <w:rPr>
          <w:rtl w:val="0"/>
        </w:rPr>
        <w:t>6. Các cơ quan, tổ chức, hộ gia đình và cá nhân có liên quan đến hoạt động vận chuyển chất thải rắn sinh hoạt, chất thải rắn công nghiệp thông thường phải xử lý và chất thải nguy hại trên địa bàn tỉnh Tây Ninh phải tuân thủ theo quy định pháp luật về bảo vệ môi trường và Quyết định này.</w:t>
      </w:r>
    </w:p>
    <w:p>
      <w:pPr>
        <w:bidi w:val="0"/>
        <w:spacing w:before="120" w:beforeAutospacing="0" w:after="280" w:afterAutospacing="1"/>
      </w:pPr>
      <w:bookmarkStart w:id="5" w:name="dieu_4"/>
      <w:r>
        <w:rPr>
          <w:b/>
          <w:bCs/>
          <w:rtl w:val="0"/>
        </w:rPr>
        <w:t>Điều 4. Điều khoản thi hành</w:t>
      </w:r>
      <w:bookmarkEnd w:id="5"/>
    </w:p>
    <w:p>
      <w:pPr>
        <w:bidi w:val="0"/>
        <w:spacing w:before="120" w:beforeAutospacing="0" w:after="280" w:afterAutospacing="1"/>
      </w:pPr>
      <w:r>
        <w:rPr>
          <w:rtl w:val="0"/>
        </w:rPr>
        <w:t>1. Quyết định này có hiệu lực từ ngày 01 tháng 7 năm 2026 và thay thế Quyết định số 34/2023/QĐ-UBND ngày 22/11/2023 của Ủy ban nhân dân tỉnh Tây Ninh quy định tuyến đường, thời gian vận chuyển chất thải rắn sinh hoạt; tuyến đường, thời gian vận chuyển chất thải rắn công nghiệp thông thường phải xử lý và chất thải nguy hại trên địa bàn tỉnh Tây Ninh.</w:t>
      </w:r>
    </w:p>
    <w:p>
      <w:pPr>
        <w:bidi w:val="0"/>
        <w:spacing w:before="120" w:beforeAutospacing="0" w:after="280" w:afterAutospacing="1"/>
      </w:pPr>
      <w:r>
        <w:rPr>
          <w:rtl w:val="0"/>
        </w:rPr>
        <w:t>2. Trong quá trình thực hiện, nếu có phát sinh, vướng mắc hoặc kiến nghị, đề xuất, các cơ quan, tổ chức, cá nhân có liên quan kịp thời phản ánh về Sở Xây dựng để tổng hợp, tham mưu Ủy ban nhân dân tỉnh xem xét, quyết định.</w:t>
      </w:r>
    </w:p>
    <w:p>
      <w:pPr>
        <w:bidi w:val="0"/>
        <w:spacing w:before="120" w:beforeAutospacing="0" w:after="280" w:afterAutospacing="1"/>
      </w:pPr>
      <w:r>
        <w:rPr>
          <w:rtl w:val="0"/>
        </w:rPr>
        <w:t>3. Chánh Văn phòng Ủy ban nhân dân tỉnh; Thủ trưởng các sở, ban, ngành tỉnh; Chủ tịch Ủy ban nhân dân các xã, phường; cơ quan, tổ chức,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w:t>
            </w:r>
            <w:r>
              <w:rPr>
                <w:sz w:val="16"/>
                <w:rtl w:val="0"/>
              </w:rPr>
              <w:br/>
            </w:r>
            <w:r>
              <w:rPr>
                <w:sz w:val="16"/>
                <w:rtl w:val="0"/>
              </w:rPr>
              <w:t>- Bộ Xây dựng;</w:t>
            </w:r>
            <w:r>
              <w:rPr>
                <w:sz w:val="16"/>
                <w:rtl w:val="0"/>
              </w:rPr>
              <w:br/>
            </w:r>
            <w:r>
              <w:rPr>
                <w:sz w:val="16"/>
                <w:rtl w:val="0"/>
              </w:rPr>
              <w:t>- Vụ Pháp chế - Bộ Xây dựng;</w:t>
            </w:r>
            <w:r>
              <w:rPr>
                <w:sz w:val="16"/>
                <w:rtl w:val="0"/>
              </w:rPr>
              <w:br/>
            </w:r>
            <w:r>
              <w:rPr>
                <w:sz w:val="16"/>
                <w:rtl w:val="0"/>
              </w:rPr>
              <w:t>- Cục Kiểm tra văn bản và Tổ chức thi hành pháp luật - Bộ Tư pháp;</w:t>
            </w:r>
            <w:r>
              <w:rPr>
                <w:sz w:val="16"/>
                <w:rtl w:val="0"/>
              </w:rPr>
              <w:br/>
            </w:r>
            <w:r>
              <w:rPr>
                <w:sz w:val="16"/>
                <w:rtl w:val="0"/>
              </w:rPr>
              <w:t>- TT TU, TT HĐND tỉnh;</w:t>
            </w:r>
            <w:r>
              <w:rPr>
                <w:sz w:val="16"/>
                <w:rtl w:val="0"/>
              </w:rPr>
              <w:br/>
            </w:r>
            <w:r>
              <w:rPr>
                <w:sz w:val="16"/>
                <w:rtl w:val="0"/>
              </w:rPr>
              <w:t>- CT, PCT UBND tỉnh;</w:t>
            </w:r>
            <w:r>
              <w:rPr>
                <w:sz w:val="16"/>
                <w:rtl w:val="0"/>
              </w:rPr>
              <w:br/>
            </w:r>
            <w:r>
              <w:rPr>
                <w:sz w:val="16"/>
                <w:rtl w:val="0"/>
              </w:rPr>
              <w:t>- TT UBMTTQVN và các tổ chức chính trị - xã hội tỉnh;</w:t>
            </w:r>
            <w:r>
              <w:rPr>
                <w:sz w:val="16"/>
                <w:rtl w:val="0"/>
              </w:rPr>
              <w:br/>
            </w:r>
            <w:r>
              <w:rPr>
                <w:sz w:val="16"/>
                <w:rtl w:val="0"/>
              </w:rPr>
              <w:t>- CVP, PCVP UBND tỉnh;</w:t>
            </w:r>
            <w:r>
              <w:rPr>
                <w:sz w:val="16"/>
                <w:rtl w:val="0"/>
              </w:rPr>
              <w:br/>
            </w:r>
            <w:r>
              <w:rPr>
                <w:sz w:val="16"/>
                <w:rtl w:val="0"/>
              </w:rPr>
              <w:t>- Như Điều 4;</w:t>
            </w:r>
            <w:r>
              <w:rPr>
                <w:sz w:val="16"/>
                <w:rtl w:val="0"/>
              </w:rPr>
              <w:br/>
            </w:r>
            <w:r>
              <w:rPr>
                <w:sz w:val="16"/>
                <w:rtl w:val="0"/>
              </w:rPr>
              <w:t>- Trung tâm Công báo - tin học;</w:t>
            </w:r>
            <w:r>
              <w:rPr>
                <w:sz w:val="16"/>
                <w:rtl w:val="0"/>
              </w:rPr>
              <w:br/>
            </w:r>
            <w:r>
              <w:rPr>
                <w:sz w:val="16"/>
                <w:rtl w:val="0"/>
              </w:rPr>
              <w:t>- Phòng: KTTC, NC;</w:t>
            </w:r>
            <w:r>
              <w:rPr>
                <w:sz w:val="16"/>
                <w:rtl w:val="0"/>
              </w:rPr>
              <w:br/>
            </w:r>
            <w:r>
              <w:rPr>
                <w:sz w:val="16"/>
                <w:rtl w:val="0"/>
              </w:rPr>
              <w:t>- Lưu: VT, Luan.</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w:t>
            </w:r>
            <w:r>
              <w:rPr>
                <w:b/>
                <w:bCs/>
                <w:rtl w:val="0"/>
              </w:rPr>
              <w:br/>
            </w:r>
            <w:r>
              <w:rPr>
                <w:b/>
                <w:bCs/>
                <w:rtl w:val="0"/>
              </w:rPr>
              <w:t>CHỦ TỊCH</w:t>
            </w:r>
            <w:r>
              <w:rPr>
                <w:b/>
                <w:bCs/>
                <w:rtl w:val="0"/>
              </w:rPr>
              <w:br/>
            </w:r>
            <w:r>
              <w:rPr>
                <w:b/>
                <w:bCs/>
                <w:rtl w:val="0"/>
              </w:rPr>
              <w:br/>
            </w:r>
            <w:r>
              <w:rPr>
                <w:b/>
                <w:bCs/>
                <w:rtl w:val="0"/>
              </w:rPr>
              <w:br/>
            </w:r>
            <w:r>
              <w:rPr>
                <w:b/>
                <w:bCs/>
                <w:rtl w:val="0"/>
              </w:rPr>
              <w:br/>
            </w:r>
            <w:r>
              <w:rPr>
                <w:b/>
                <w:bCs/>
                <w:rtl w:val="0"/>
              </w:rPr>
              <w:br/>
            </w:r>
            <w:r>
              <w:rPr>
                <w:b/>
                <w:bCs/>
                <w:rtl w:val="0"/>
              </w:rPr>
              <w:t>Lê Văn Hẳn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